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1ABE3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ind w:left="396" w:hanging="396"/>
        <w:rPr>
          <w:rFonts w:ascii="Arial" w:eastAsia="Arial" w:hAnsi="Arial" w:cs="Arial"/>
          <w:color w:val="000000"/>
          <w:sz w:val="22"/>
          <w:szCs w:val="22"/>
        </w:rPr>
      </w:pPr>
    </w:p>
    <w:p w14:paraId="694BF97B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ind w:left="396" w:hanging="396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Příloha č. 2</w:t>
      </w:r>
      <w:r>
        <w:rPr>
          <w:rFonts w:ascii="Arial" w:eastAsia="Arial" w:hAnsi="Arial" w:cs="Arial"/>
          <w:color w:val="000000"/>
          <w:sz w:val="22"/>
          <w:szCs w:val="22"/>
        </w:rPr>
        <w:tab/>
        <w:t>- Tříděný komunální odpad</w:t>
      </w:r>
    </w:p>
    <w:p w14:paraId="22AED19B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ind w:left="396" w:hanging="396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27ABECB2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ind w:left="396" w:hanging="396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9A423C9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ind w:left="396" w:hanging="396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Tříděný komunální odpad</w:t>
      </w:r>
    </w:p>
    <w:p w14:paraId="78FD958E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335F69FD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I.</w:t>
      </w:r>
    </w:p>
    <w:p w14:paraId="6E71DD0F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tabs>
          <w:tab w:val="left" w:pos="40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Stanovení rozsahu a způsobu poskytované služby</w:t>
      </w:r>
    </w:p>
    <w:p w14:paraId="213A7399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40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A7184D4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1.</w:t>
      </w:r>
      <w:r>
        <w:rPr>
          <w:rFonts w:ascii="Arial" w:eastAsia="Arial" w:hAnsi="Arial" w:cs="Arial"/>
          <w:color w:val="000000"/>
          <w:sz w:val="22"/>
          <w:szCs w:val="22"/>
        </w:rPr>
        <w:tab/>
        <w:t>Obsah sjednané služby tvoří následující dohodnuté činnosti:</w:t>
      </w:r>
    </w:p>
    <w:p w14:paraId="5001A776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rPr>
          <w:rFonts w:ascii="Arial" w:eastAsia="Arial" w:hAnsi="Arial" w:cs="Arial"/>
          <w:color w:val="000000"/>
          <w:sz w:val="22"/>
          <w:szCs w:val="22"/>
        </w:rPr>
      </w:pPr>
    </w:p>
    <w:p w14:paraId="6A8229AA" w14:textId="77777777" w:rsidR="002E7B6C" w:rsidRDefault="003F3E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0"/>
          <w:szCs w:val="2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sběr a svoz tříděného komunálního odpadu – plastů a nápojových kartonů (kat. č. 20 01 39), papíru (kat. č. 20 01 01), bílého a barevného skla (kat. č. 20 01 02, dále „sklo“), biologicky rozložitelného komunálního odpadu (kat. č. 20 02 01 dále jen „BRKO“), </w:t>
      </w:r>
      <w:r>
        <w:rPr>
          <w:rFonts w:ascii="Arial" w:eastAsia="Arial" w:hAnsi="Arial" w:cs="Arial"/>
          <w:color w:val="000000"/>
          <w:sz w:val="22"/>
          <w:szCs w:val="22"/>
        </w:rPr>
        <w:t>použitého textilu (kat. č. 20 01 11, dále jen „textil“), jedlých olejů a tuků (kat. č. 20 01 25, dále jen „oleje a tuky“), kovů (kat. č. 20 01 40) z veřejných stanovišť ve stanoveném režimu 52 svozů za rok, tj. 1 x týdně v sídlištní zástavbě,</w:t>
      </w:r>
    </w:p>
    <w:p w14:paraId="1E8549C2" w14:textId="77777777" w:rsidR="002E7B6C" w:rsidRDefault="003F3E55" w:rsidP="00073AA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99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0"/>
          <w:szCs w:val="20"/>
        </w:rPr>
      </w:pPr>
      <w:r>
        <w:rPr>
          <w:rFonts w:ascii="Arial" w:eastAsia="Arial" w:hAnsi="Arial" w:cs="Arial"/>
          <w:color w:val="000000"/>
          <w:sz w:val="22"/>
          <w:szCs w:val="22"/>
        </w:rPr>
        <w:t>sběr a svoz 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říděného komunálního odpadu – plastů a nápojových kartonů (kat. č. 20 01 39), papíru (kat. č. 20 01 01), biologicky rozložitelného komunálního odpadu (kat. č. 20 02 01) v rámci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door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-to-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door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systému u rodinných domů ve stanoveném režimu duben až listopad 1x</w:t>
      </w:r>
      <w:r>
        <w:rPr>
          <w:rFonts w:ascii="Arial" w:eastAsia="Arial" w:hAnsi="Arial" w:cs="Arial"/>
          <w:sz w:val="22"/>
          <w:szCs w:val="22"/>
        </w:rPr>
        <w:t xml:space="preserve"> 14 dnů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 prosinec až březen 1x měsíčně u BRKO a 13 svozů za rok u plastů vč. nápojových kartonů a u papíru, tj. </w:t>
      </w:r>
      <w:r>
        <w:rPr>
          <w:rFonts w:ascii="Arial" w:eastAsia="Arial" w:hAnsi="Arial" w:cs="Arial"/>
          <w:sz w:val="22"/>
          <w:szCs w:val="22"/>
        </w:rPr>
        <w:t>1x měsíčně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</w:t>
      </w:r>
    </w:p>
    <w:p w14:paraId="7A6B59A3" w14:textId="77777777" w:rsidR="002E7B6C" w:rsidRDefault="003F3E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0"/>
          <w:szCs w:val="20"/>
        </w:rPr>
      </w:pPr>
      <w:r>
        <w:rPr>
          <w:rFonts w:ascii="Arial" w:eastAsia="Arial" w:hAnsi="Arial" w:cs="Arial"/>
          <w:color w:val="000000"/>
          <w:sz w:val="22"/>
          <w:szCs w:val="22"/>
        </w:rPr>
        <w:t>manipulace se sběrnými nádobami do vzdálenosti 5 m,</w:t>
      </w:r>
    </w:p>
    <w:p w14:paraId="035AAAF8" w14:textId="77777777" w:rsidR="002E7B6C" w:rsidRDefault="003F3E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dodání nálepek k označení sběrných nádob na tříděný komunální odpad,</w:t>
      </w:r>
    </w:p>
    <w:p w14:paraId="485D9D2C" w14:textId="77777777" w:rsidR="002E7B6C" w:rsidRDefault="003F3E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0"/>
          <w:szCs w:val="20"/>
        </w:rPr>
      </w:pPr>
      <w:r>
        <w:rPr>
          <w:rFonts w:ascii="Arial" w:eastAsia="Arial" w:hAnsi="Arial" w:cs="Arial"/>
          <w:color w:val="000000"/>
          <w:sz w:val="22"/>
          <w:szCs w:val="22"/>
        </w:rPr>
        <w:t>předání tříděného komunálního odpadu k materiálovému využití včetně vykládky u jeho zpracovatele.</w:t>
      </w:r>
    </w:p>
    <w:p w14:paraId="4A6379D9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5466401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2.</w:t>
      </w:r>
      <w:r>
        <w:rPr>
          <w:rFonts w:ascii="Arial" w:eastAsia="Arial" w:hAnsi="Arial" w:cs="Arial"/>
          <w:color w:val="000000"/>
          <w:sz w:val="22"/>
          <w:szCs w:val="22"/>
        </w:rPr>
        <w:tab/>
        <w:t>Pro ukládání tříděného komunálního odpadu budou přednostně využívány typizované sběrn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é nádoby o objemu 120 l, 240 l a kontejnery o objemu 1100 l, 1500 l a 3350 l.  </w:t>
      </w:r>
    </w:p>
    <w:p w14:paraId="587762F6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71C6715" w14:textId="77777777" w:rsidR="002E7B6C" w:rsidRDefault="003F3E55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 xml:space="preserve">Předpokládaný rozsah plnění (bez </w:t>
      </w:r>
      <w:proofErr w:type="spellStart"/>
      <w:r>
        <w:rPr>
          <w:rFonts w:ascii="Arial" w:eastAsia="Arial" w:hAnsi="Arial" w:cs="Arial"/>
          <w:b/>
          <w:i/>
          <w:sz w:val="22"/>
          <w:szCs w:val="22"/>
        </w:rPr>
        <w:t>door</w:t>
      </w:r>
      <w:proofErr w:type="spellEnd"/>
      <w:r>
        <w:rPr>
          <w:rFonts w:ascii="Arial" w:eastAsia="Arial" w:hAnsi="Arial" w:cs="Arial"/>
          <w:b/>
          <w:i/>
          <w:sz w:val="22"/>
          <w:szCs w:val="22"/>
        </w:rPr>
        <w:t>-to-</w:t>
      </w:r>
      <w:proofErr w:type="spellStart"/>
      <w:r>
        <w:rPr>
          <w:rFonts w:ascii="Arial" w:eastAsia="Arial" w:hAnsi="Arial" w:cs="Arial"/>
          <w:b/>
          <w:i/>
          <w:sz w:val="22"/>
          <w:szCs w:val="22"/>
        </w:rPr>
        <w:t>door</w:t>
      </w:r>
      <w:proofErr w:type="spellEnd"/>
      <w:r>
        <w:rPr>
          <w:rFonts w:ascii="Arial" w:eastAsia="Arial" w:hAnsi="Arial" w:cs="Arial"/>
          <w:b/>
          <w:i/>
          <w:sz w:val="22"/>
          <w:szCs w:val="22"/>
        </w:rPr>
        <w:t xml:space="preserve"> systému):</w:t>
      </w:r>
    </w:p>
    <w:tbl>
      <w:tblPr>
        <w:tblStyle w:val="a0"/>
        <w:tblW w:w="90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9"/>
        <w:gridCol w:w="2081"/>
        <w:gridCol w:w="2231"/>
        <w:gridCol w:w="2541"/>
      </w:tblGrid>
      <w:tr w:rsidR="002E7B6C" w14:paraId="10C65F02" w14:textId="77777777">
        <w:trPr>
          <w:jc w:val="center"/>
        </w:trPr>
        <w:tc>
          <w:tcPr>
            <w:tcW w:w="2209" w:type="dxa"/>
            <w:shd w:val="clear" w:color="auto" w:fill="auto"/>
            <w:vAlign w:val="center"/>
          </w:tcPr>
          <w:p w14:paraId="17AB8A2A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Druh TŘÍDĚNÝ KOMUNÁLNÍ ODPAD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2AE038B6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Předpokládaný </w:t>
            </w:r>
          </w:p>
          <w:p w14:paraId="76EC7495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počet nádob (ks)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6841697E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Předpokládané </w:t>
            </w:r>
          </w:p>
          <w:p w14:paraId="3079003C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množství (t/rok)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2D0AC222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Předpokládané množství za dobu plnění veřejné zakázky (t)</w:t>
            </w:r>
          </w:p>
        </w:tc>
      </w:tr>
      <w:tr w:rsidR="002E7B6C" w14:paraId="50821AD5" w14:textId="77777777">
        <w:trPr>
          <w:jc w:val="center"/>
        </w:trPr>
        <w:tc>
          <w:tcPr>
            <w:tcW w:w="2209" w:type="dxa"/>
            <w:vAlign w:val="center"/>
          </w:tcPr>
          <w:p w14:paraId="25377C3C" w14:textId="77777777" w:rsidR="002E7B6C" w:rsidRDefault="003F3E55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BRKO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5CA5DF97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46</w:t>
            </w:r>
            <w:r>
              <w:rPr>
                <w:rFonts w:ascii="Arial" w:eastAsia="Arial" w:hAnsi="Arial" w:cs="Arial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627F7CDE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259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4FE648C2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1.036</w:t>
            </w:r>
          </w:p>
        </w:tc>
      </w:tr>
      <w:tr w:rsidR="002E7B6C" w14:paraId="6782FCDA" w14:textId="77777777">
        <w:trPr>
          <w:jc w:val="center"/>
        </w:trPr>
        <w:tc>
          <w:tcPr>
            <w:tcW w:w="2209" w:type="dxa"/>
            <w:shd w:val="clear" w:color="auto" w:fill="auto"/>
            <w:vAlign w:val="center"/>
          </w:tcPr>
          <w:p w14:paraId="2A4C4DD9" w14:textId="77777777" w:rsidR="002E7B6C" w:rsidRDefault="003F3E55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plasty a nápojové kartony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4C5349F5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241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32492AD3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147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3BFCACEE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588</w:t>
            </w:r>
          </w:p>
        </w:tc>
      </w:tr>
      <w:tr w:rsidR="002E7B6C" w14:paraId="24D1C2AC" w14:textId="77777777">
        <w:trPr>
          <w:jc w:val="center"/>
        </w:trPr>
        <w:tc>
          <w:tcPr>
            <w:tcW w:w="2209" w:type="dxa"/>
            <w:shd w:val="clear" w:color="auto" w:fill="auto"/>
            <w:vAlign w:val="center"/>
          </w:tcPr>
          <w:p w14:paraId="272B2198" w14:textId="77777777" w:rsidR="002E7B6C" w:rsidRDefault="003F3E55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papír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3CB49B5C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218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77B8FBC6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219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0E9FD597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876</w:t>
            </w:r>
          </w:p>
        </w:tc>
      </w:tr>
      <w:tr w:rsidR="002E7B6C" w14:paraId="208BC60B" w14:textId="77777777">
        <w:trPr>
          <w:jc w:val="center"/>
        </w:trPr>
        <w:tc>
          <w:tcPr>
            <w:tcW w:w="2209" w:type="dxa"/>
            <w:shd w:val="clear" w:color="auto" w:fill="auto"/>
            <w:vAlign w:val="center"/>
          </w:tcPr>
          <w:p w14:paraId="1E25F888" w14:textId="77777777" w:rsidR="002E7B6C" w:rsidRDefault="003F3E55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sklo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31BC4E27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112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200EF25B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288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78744BC5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1.152</w:t>
            </w:r>
          </w:p>
        </w:tc>
      </w:tr>
      <w:tr w:rsidR="002E7B6C" w14:paraId="34F23CCB" w14:textId="77777777">
        <w:trPr>
          <w:jc w:val="center"/>
        </w:trPr>
        <w:tc>
          <w:tcPr>
            <w:tcW w:w="2209" w:type="dxa"/>
            <w:shd w:val="clear" w:color="auto" w:fill="auto"/>
            <w:vAlign w:val="center"/>
          </w:tcPr>
          <w:p w14:paraId="2D39690B" w14:textId="77777777" w:rsidR="002E7B6C" w:rsidRDefault="003F3E55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textil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0E7F84B2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4D124EE5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526983CD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</w:tc>
      </w:tr>
      <w:tr w:rsidR="002E7B6C" w14:paraId="241EE7BE" w14:textId="77777777">
        <w:trPr>
          <w:jc w:val="center"/>
        </w:trPr>
        <w:tc>
          <w:tcPr>
            <w:tcW w:w="2209" w:type="dxa"/>
            <w:shd w:val="clear" w:color="auto" w:fill="auto"/>
            <w:vAlign w:val="center"/>
          </w:tcPr>
          <w:p w14:paraId="4C13121C" w14:textId="77777777" w:rsidR="002E7B6C" w:rsidRDefault="003F3E55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kuchyňské oleje a tuky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12AA9843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24</w:t>
            </w:r>
          </w:p>
        </w:tc>
        <w:tc>
          <w:tcPr>
            <w:tcW w:w="2231" w:type="dxa"/>
            <w:shd w:val="clear" w:color="auto" w:fill="auto"/>
            <w:vAlign w:val="center"/>
          </w:tcPr>
          <w:p w14:paraId="359FFEE2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1,5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5601F4F3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</w:p>
        </w:tc>
      </w:tr>
      <w:tr w:rsidR="002E7B6C" w14:paraId="78D3923E" w14:textId="77777777">
        <w:trPr>
          <w:jc w:val="center"/>
        </w:trPr>
        <w:tc>
          <w:tcPr>
            <w:tcW w:w="2209" w:type="dxa"/>
            <w:shd w:val="clear" w:color="auto" w:fill="auto"/>
          </w:tcPr>
          <w:p w14:paraId="50AD3937" w14:textId="77777777" w:rsidR="002E7B6C" w:rsidRDefault="003F3E55">
            <w:pPr>
              <w:spacing w:after="12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kovy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2078E0FA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19</w:t>
            </w:r>
          </w:p>
        </w:tc>
        <w:tc>
          <w:tcPr>
            <w:tcW w:w="2231" w:type="dxa"/>
            <w:shd w:val="clear" w:color="auto" w:fill="auto"/>
          </w:tcPr>
          <w:p w14:paraId="585BA32C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76</w:t>
            </w:r>
          </w:p>
        </w:tc>
        <w:tc>
          <w:tcPr>
            <w:tcW w:w="2541" w:type="dxa"/>
            <w:shd w:val="clear" w:color="auto" w:fill="auto"/>
          </w:tcPr>
          <w:p w14:paraId="4E8FAC58" w14:textId="77777777" w:rsidR="002E7B6C" w:rsidRDefault="003F3E55">
            <w:pPr>
              <w:spacing w:after="1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304</w:t>
            </w:r>
          </w:p>
        </w:tc>
      </w:tr>
    </w:tbl>
    <w:p w14:paraId="679E5267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FCC1940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3.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 xml:space="preserve">Jako doplňkovou službu lze využívat svoz tříděného komunálního odpadu v jednotných typizovaných </w:t>
      </w:r>
      <w:r>
        <w:rPr>
          <w:rFonts w:ascii="Arial" w:eastAsia="Arial" w:hAnsi="Arial" w:cs="Arial"/>
          <w:sz w:val="22"/>
          <w:szCs w:val="22"/>
        </w:rPr>
        <w:t>plastových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pytlích, které budou v evidenci zhotovitele.  </w:t>
      </w:r>
    </w:p>
    <w:p w14:paraId="13F1924E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384"/>
          <w:tab w:val="left" w:pos="1440"/>
          <w:tab w:val="left" w:pos="2160"/>
          <w:tab w:val="left" w:pos="2880"/>
          <w:tab w:val="left" w:pos="3600"/>
          <w:tab w:val="left" w:pos="4320"/>
          <w:tab w:val="left" w:pos="4959"/>
          <w:tab w:val="left" w:pos="5301"/>
          <w:tab w:val="left" w:pos="5757"/>
          <w:tab w:val="left" w:pos="7200"/>
          <w:tab w:val="left" w:pos="7920"/>
          <w:tab w:val="left" w:pos="8640"/>
        </w:tabs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35867CF3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384"/>
          <w:tab w:val="left" w:pos="1440"/>
          <w:tab w:val="left" w:pos="2160"/>
          <w:tab w:val="left" w:pos="2880"/>
          <w:tab w:val="left" w:pos="3600"/>
          <w:tab w:val="left" w:pos="4320"/>
          <w:tab w:val="left" w:pos="4959"/>
          <w:tab w:val="left" w:pos="5301"/>
          <w:tab w:val="left" w:pos="5757"/>
          <w:tab w:val="left" w:pos="7200"/>
          <w:tab w:val="left" w:pos="7920"/>
          <w:tab w:val="left" w:pos="8640"/>
        </w:tabs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03743C1D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384"/>
          <w:tab w:val="left" w:pos="1440"/>
          <w:tab w:val="left" w:pos="2160"/>
          <w:tab w:val="left" w:pos="2880"/>
          <w:tab w:val="left" w:pos="3600"/>
          <w:tab w:val="left" w:pos="4320"/>
          <w:tab w:val="left" w:pos="4959"/>
          <w:tab w:val="left" w:pos="5301"/>
          <w:tab w:val="left" w:pos="5757"/>
          <w:tab w:val="left" w:pos="7200"/>
          <w:tab w:val="left" w:pos="7920"/>
          <w:tab w:val="left" w:pos="8640"/>
        </w:tabs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1D32E31A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384"/>
          <w:tab w:val="left" w:pos="1440"/>
          <w:tab w:val="left" w:pos="2160"/>
          <w:tab w:val="left" w:pos="2880"/>
          <w:tab w:val="left" w:pos="3600"/>
          <w:tab w:val="left" w:pos="4320"/>
          <w:tab w:val="left" w:pos="4959"/>
          <w:tab w:val="left" w:pos="5301"/>
          <w:tab w:val="left" w:pos="5757"/>
          <w:tab w:val="left" w:pos="7200"/>
          <w:tab w:val="left" w:pos="7920"/>
          <w:tab w:val="left" w:pos="8640"/>
        </w:tabs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443F299F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tabs>
          <w:tab w:val="left" w:pos="384"/>
          <w:tab w:val="left" w:pos="1440"/>
          <w:tab w:val="left" w:pos="2160"/>
          <w:tab w:val="left" w:pos="2880"/>
          <w:tab w:val="left" w:pos="3600"/>
          <w:tab w:val="left" w:pos="4320"/>
          <w:tab w:val="left" w:pos="4959"/>
          <w:tab w:val="left" w:pos="5301"/>
          <w:tab w:val="left" w:pos="5757"/>
          <w:tab w:val="left" w:pos="7200"/>
          <w:tab w:val="left" w:pos="7920"/>
          <w:tab w:val="left" w:pos="8640"/>
        </w:tabs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II.</w:t>
      </w:r>
    </w:p>
    <w:p w14:paraId="462C960C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Podmínky zajištění služby</w:t>
      </w:r>
    </w:p>
    <w:p w14:paraId="378529AB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ind w:left="396" w:hanging="396"/>
        <w:rPr>
          <w:rFonts w:ascii="Arial" w:eastAsia="Arial" w:hAnsi="Arial" w:cs="Arial"/>
          <w:color w:val="000000"/>
          <w:sz w:val="22"/>
          <w:szCs w:val="22"/>
        </w:rPr>
      </w:pPr>
    </w:p>
    <w:p w14:paraId="0A9C60C3" w14:textId="77777777" w:rsidR="002E7B6C" w:rsidRDefault="003F3E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Svoz tříděného odpadu z veřejných stanovišť ve výše uvedených sběrných nádobách bude prováděn v četnosti a z nádob podle </w:t>
      </w:r>
      <w:r>
        <w:rPr>
          <w:rFonts w:ascii="Arial" w:eastAsia="Arial" w:hAnsi="Arial" w:cs="Arial"/>
          <w:sz w:val="22"/>
          <w:szCs w:val="22"/>
        </w:rPr>
        <w:t>přílohy č. 5 smlouvy o poskytování služeb v oblasti nakládání s odpady „Svozový kalendář a stanoviště separovaného odpadu“</w:t>
      </w:r>
      <w:r>
        <w:rPr>
          <w:rFonts w:ascii="Arial" w:eastAsia="Arial" w:hAnsi="Arial" w:cs="Arial"/>
          <w:color w:val="000000"/>
          <w:sz w:val="22"/>
          <w:szCs w:val="22"/>
        </w:rPr>
        <w:t>, a to ve dne</w:t>
      </w:r>
      <w:r>
        <w:rPr>
          <w:rFonts w:ascii="Arial" w:eastAsia="Arial" w:hAnsi="Arial" w:cs="Arial"/>
          <w:color w:val="000000"/>
          <w:sz w:val="22"/>
          <w:szCs w:val="22"/>
        </w:rPr>
        <w:t>ch pondělí až pátek podle seznamu ulic.</w:t>
      </w:r>
    </w:p>
    <w:p w14:paraId="2C38D1F0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45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ADAA767" w14:textId="77777777" w:rsidR="002E7B6C" w:rsidRDefault="003F3E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491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Poskytovatel je oprávněn změnit svozový den, pokud si to vyžádají provozní okolnosti. Konkrétní svozové dny jsou stanoveny harmonogramem svozu tříděného komunálního odpadu, který poskytovatel předloží objednateli k odsouhlasení.</w:t>
      </w:r>
    </w:p>
    <w:p w14:paraId="5154CB45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D070064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3.     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 xml:space="preserve">Poskytovatel se zavazuje v případě nedodržení stanoveného svozového termínu v důsledku nenadálých situací zajistit náhradní svoz do 24 h od stanoveného termínu svozu. O </w:t>
      </w:r>
      <w:r>
        <w:rPr>
          <w:rFonts w:ascii="Arial" w:eastAsia="Arial" w:hAnsi="Arial" w:cs="Arial"/>
          <w:sz w:val="22"/>
          <w:szCs w:val="22"/>
        </w:rPr>
        <w:t>takové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situaci bude neprodleně informovat objednatele. </w:t>
      </w:r>
    </w:p>
    <w:p w14:paraId="50A6CC80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A0031FA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4. </w:t>
      </w:r>
      <w:r>
        <w:rPr>
          <w:rFonts w:ascii="Arial" w:eastAsia="Arial" w:hAnsi="Arial" w:cs="Arial"/>
          <w:color w:val="000000"/>
          <w:sz w:val="22"/>
          <w:szCs w:val="22"/>
        </w:rPr>
        <w:tab/>
        <w:t>Poskytovatel se zavazuje v</w:t>
      </w:r>
      <w:r>
        <w:rPr>
          <w:rFonts w:ascii="Arial" w:eastAsia="Arial" w:hAnsi="Arial" w:cs="Arial"/>
          <w:color w:val="000000"/>
          <w:sz w:val="22"/>
          <w:szCs w:val="22"/>
        </w:rPr>
        <w:t>yprazdňovat celý obsah sběrných nádob s výjimkou případů, zaviněných producentem odpadu, tj. např. zamrzlého nebo příliš upěchovaného odpadu.</w:t>
      </w:r>
    </w:p>
    <w:p w14:paraId="648A17BD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0BD9849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5.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>Poskytovatel zajistí vyprázdnění všech sběrných nádob od fyzických osob, které budou v daný svozový den přistavené na dobře viditelném místě a budou přístupné svozovému vozidlu.</w:t>
      </w:r>
    </w:p>
    <w:p w14:paraId="2487EE34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DCA17E3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6.</w:t>
      </w:r>
      <w:r>
        <w:rPr>
          <w:rFonts w:ascii="Arial" w:eastAsia="Arial" w:hAnsi="Arial" w:cs="Arial"/>
          <w:color w:val="000000"/>
          <w:sz w:val="22"/>
          <w:szCs w:val="22"/>
        </w:rPr>
        <w:tab/>
        <w:t>Objednatel je povinen v době svozu zajistit dostatečný přístup svozovému v</w:t>
      </w:r>
      <w:r>
        <w:rPr>
          <w:rFonts w:ascii="Arial" w:eastAsia="Arial" w:hAnsi="Arial" w:cs="Arial"/>
          <w:color w:val="000000"/>
          <w:sz w:val="22"/>
          <w:szCs w:val="22"/>
        </w:rPr>
        <w:t>ozidlu a jeho posádce k sběrnému místu, umožňující snadnou a bezpečnou manipulaci se sběrnými nádobami, bez narušení plynulosti poskytované služby, a to včetně pravidelného vyhrnování sněhu v zimních měsících před sběrným místem.</w:t>
      </w:r>
    </w:p>
    <w:p w14:paraId="1D030E86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950E0DB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7.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>Objednatel odpovídá za to, že odpad ve sběrných nádobách bude zahrnovat pouze druh odpadu uvedený v čl. II, části 2 smlouvy a že odpovídá zařazení dle kategorizace v katalogu odpadů. V případě, že bude zjištěn nesoulad mezi specifikací a skutečnou dodávkou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odpadu, je poskytovatel oprávněn takový odpad nepřevzít až do zjednání nápravy.</w:t>
      </w:r>
    </w:p>
    <w:p w14:paraId="4ECEF18C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4156657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8.</w:t>
      </w:r>
      <w:r>
        <w:rPr>
          <w:rFonts w:ascii="Arial" w:eastAsia="Arial" w:hAnsi="Arial" w:cs="Arial"/>
          <w:color w:val="000000"/>
          <w:sz w:val="22"/>
          <w:szCs w:val="22"/>
        </w:rPr>
        <w:tab/>
        <w:t>Stane-li se stanoviště odpadových nádob po určitou dobu nepřístupné z důvodů povolené stavby nebo klimatických podmínek, dohodne objednatel se zainteresovanými stranami na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nezbytně nutnou dobu náhradní stanoviště, případně změní typ odpadových nádob.</w:t>
      </w:r>
    </w:p>
    <w:p w14:paraId="740419AE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5C5A0EA3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9.</w:t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Objednatel odpovídá za to, že nebude docházet k přeplňování a přetěžování odpadových nádob. Pro hmotnosti zcela naplněných odpadových nádob platí následující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limity:  sběrn</w:t>
      </w:r>
      <w:r>
        <w:rPr>
          <w:rFonts w:ascii="Arial" w:eastAsia="Arial" w:hAnsi="Arial" w:cs="Arial"/>
          <w:color w:val="000000"/>
          <w:sz w:val="22"/>
          <w:szCs w:val="22"/>
        </w:rPr>
        <w:t>á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 nádoba 120 l … 65 kg, sběrná nádoba 240 l … 120 kg, kontejner 1100 l ...340 kg, kontejner 1500 l … 450 kg, kontejner 3350 l … 340 kg. V případě nadměrného přetížení není technicky možné odpad vyprázdnit.</w:t>
      </w:r>
    </w:p>
    <w:p w14:paraId="05F068BF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9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Arial" w:hAnsi="Arial" w:cs="Arial"/>
          <w:color w:val="EE0000"/>
          <w:sz w:val="22"/>
          <w:szCs w:val="22"/>
        </w:rPr>
      </w:pPr>
    </w:p>
    <w:p w14:paraId="72EF1F95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0"/>
          <w:szCs w:val="2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10.    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 xml:space="preserve">Objednatel zajistí zejména v zimních měsících dostatečnou údržbu komunikací na                      </w:t>
      </w:r>
      <w:r>
        <w:rPr>
          <w:rFonts w:ascii="Arial" w:eastAsia="Arial" w:hAnsi="Arial" w:cs="Arial"/>
          <w:color w:val="000000"/>
          <w:sz w:val="22"/>
          <w:szCs w:val="22"/>
        </w:rPr>
        <w:tab/>
        <w:t>území města, která umožní bezpečný průjezd svozové techniky.</w:t>
      </w:r>
    </w:p>
    <w:p w14:paraId="5A9B79CF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99CDC95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0" w:name="_heading=h.p2guax2f9qrr" w:colFirst="0" w:colLast="0"/>
      <w:bookmarkEnd w:id="0"/>
      <w:r>
        <w:rPr>
          <w:rFonts w:ascii="Arial" w:eastAsia="Arial" w:hAnsi="Arial" w:cs="Arial"/>
          <w:color w:val="000000"/>
          <w:sz w:val="22"/>
          <w:szCs w:val="22"/>
        </w:rPr>
        <w:t xml:space="preserve">11.   </w:t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Poskytovatel zajistí úklid nečistot vzniklých </w:t>
      </w:r>
      <w:r>
        <w:rPr>
          <w:rFonts w:ascii="Arial" w:eastAsia="Arial" w:hAnsi="Arial" w:cs="Arial"/>
          <w:sz w:val="22"/>
          <w:szCs w:val="22"/>
        </w:rPr>
        <w:t>při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manipulaci s odpadovými nádobami.</w:t>
      </w:r>
    </w:p>
    <w:p w14:paraId="31C70690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B539243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12. </w:t>
      </w:r>
      <w:r>
        <w:rPr>
          <w:rFonts w:ascii="Arial" w:eastAsia="Arial" w:hAnsi="Arial" w:cs="Arial"/>
          <w:color w:val="000000"/>
          <w:sz w:val="22"/>
          <w:szCs w:val="22"/>
        </w:rPr>
        <w:tab/>
        <w:t>Poskytovatel zajistí nejméně 1x ročně čištění sběrných nádob na všech veřejných stanovištích z jejich vnější strany.</w:t>
      </w:r>
    </w:p>
    <w:p w14:paraId="101EE6EA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ind w:left="396" w:hanging="396"/>
        <w:rPr>
          <w:rFonts w:ascii="Arial" w:eastAsia="Arial" w:hAnsi="Arial" w:cs="Arial"/>
          <w:color w:val="000000"/>
          <w:sz w:val="22"/>
          <w:szCs w:val="22"/>
        </w:rPr>
      </w:pPr>
    </w:p>
    <w:p w14:paraId="0C8D58EE" w14:textId="77777777" w:rsidR="002E7B6C" w:rsidRDefault="002E7B6C">
      <w:pPr>
        <w:pBdr>
          <w:top w:val="nil"/>
          <w:left w:val="nil"/>
          <w:bottom w:val="nil"/>
          <w:right w:val="nil"/>
          <w:between w:val="nil"/>
        </w:pBdr>
        <w:tabs>
          <w:tab w:val="left" w:pos="57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8" w:hanging="578"/>
        <w:rPr>
          <w:rFonts w:ascii="Arial" w:eastAsia="Arial" w:hAnsi="Arial" w:cs="Arial"/>
          <w:color w:val="000000"/>
          <w:sz w:val="22"/>
          <w:szCs w:val="22"/>
        </w:rPr>
      </w:pPr>
    </w:p>
    <w:p w14:paraId="25996599" w14:textId="77777777" w:rsidR="002E7B6C" w:rsidRDefault="002E7B6C">
      <w:pPr>
        <w:rPr>
          <w:rFonts w:ascii="Arial" w:eastAsia="Arial" w:hAnsi="Arial" w:cs="Arial"/>
          <w:sz w:val="22"/>
          <w:szCs w:val="22"/>
        </w:rPr>
      </w:pPr>
    </w:p>
    <w:sectPr w:rsidR="002E7B6C">
      <w:footerReference w:type="even" r:id="rId8"/>
      <w:footerReference w:type="default" r:id="rId9"/>
      <w:pgSz w:w="12240" w:h="15840"/>
      <w:pgMar w:top="709" w:right="1417" w:bottom="851" w:left="1417" w:header="708" w:footer="25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99419" w14:textId="77777777" w:rsidR="003F3E55" w:rsidRDefault="003F3E55">
      <w:r>
        <w:separator/>
      </w:r>
    </w:p>
  </w:endnote>
  <w:endnote w:type="continuationSeparator" w:id="0">
    <w:p w14:paraId="2767D049" w14:textId="77777777" w:rsidR="003F3E55" w:rsidRDefault="003F3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5BA39" w14:textId="77777777" w:rsidR="002E7B6C" w:rsidRDefault="003F3E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6C86048E" w14:textId="77777777" w:rsidR="002E7B6C" w:rsidRDefault="002E7B6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1962B" w14:textId="77777777" w:rsidR="002E7B6C" w:rsidRDefault="003F3E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73AAE">
      <w:rPr>
        <w:noProof/>
        <w:color w:val="000000"/>
      </w:rPr>
      <w:t>1</w:t>
    </w:r>
    <w:r>
      <w:rPr>
        <w:color w:val="000000"/>
      </w:rPr>
      <w:fldChar w:fldCharType="end"/>
    </w:r>
  </w:p>
  <w:p w14:paraId="281AB5FB" w14:textId="77777777" w:rsidR="002E7B6C" w:rsidRDefault="002E7B6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2D000" w14:textId="77777777" w:rsidR="003F3E55" w:rsidRDefault="003F3E55">
      <w:r>
        <w:separator/>
      </w:r>
    </w:p>
  </w:footnote>
  <w:footnote w:type="continuationSeparator" w:id="0">
    <w:p w14:paraId="4A1B2240" w14:textId="77777777" w:rsidR="003F3E55" w:rsidRDefault="003F3E55">
      <w:r>
        <w:continuationSeparator/>
      </w:r>
    </w:p>
  </w:footnote>
  <w:footnote w:id="1">
    <w:p w14:paraId="46D7E62F" w14:textId="77777777" w:rsidR="002E7B6C" w:rsidRDefault="003F3E5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Zahrnuje 41 ks nádob o objemu 1100 l a 5 nádob o objemu 240 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344ACD"/>
    <w:multiLevelType w:val="multilevel"/>
    <w:tmpl w:val="AEB4D076"/>
    <w:lvl w:ilvl="0">
      <w:start w:val="10"/>
      <w:numFmt w:val="bullet"/>
      <w:lvlText w:val="-"/>
      <w:lvlJc w:val="left"/>
      <w:pPr>
        <w:ind w:left="90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6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88712CB"/>
    <w:multiLevelType w:val="multilevel"/>
    <w:tmpl w:val="602A8626"/>
    <w:lvl w:ilvl="0">
      <w:start w:val="1"/>
      <w:numFmt w:val="decimal"/>
      <w:lvlText w:val="%1."/>
      <w:lvlJc w:val="left"/>
      <w:pPr>
        <w:ind w:left="945" w:hanging="58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B6C"/>
    <w:rsid w:val="00073AAE"/>
    <w:rsid w:val="002E7B6C"/>
    <w:rsid w:val="003F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6C9D"/>
  <w15:docId w15:val="{D0BEFB00-D3BA-45E3-A28C-5858BB618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ka">
    <w:name w:val="Řádka"/>
    <w:rsid w:val="00224525"/>
    <w:pPr>
      <w:autoSpaceDE w:val="0"/>
      <w:autoSpaceDN w:val="0"/>
      <w:adjustRightInd w:val="0"/>
    </w:pPr>
    <w:rPr>
      <w:color w:val="000000"/>
      <w:sz w:val="20"/>
    </w:rPr>
  </w:style>
  <w:style w:type="paragraph" w:styleId="Zkladntext">
    <w:name w:val="Body Text"/>
    <w:link w:val="ZkladntextChar"/>
    <w:rsid w:val="00224525"/>
    <w:pPr>
      <w:autoSpaceDE w:val="0"/>
      <w:autoSpaceDN w:val="0"/>
      <w:adjustRightInd w:val="0"/>
    </w:pPr>
    <w:rPr>
      <w:color w:val="000000"/>
      <w:sz w:val="20"/>
    </w:rPr>
  </w:style>
  <w:style w:type="character" w:customStyle="1" w:styleId="ZkladntextChar">
    <w:name w:val="Základní text Char"/>
    <w:basedOn w:val="Standardnpsmoodstavce"/>
    <w:link w:val="Zkladntext"/>
    <w:rsid w:val="00224525"/>
    <w:rPr>
      <w:rFonts w:ascii="Times New Roman" w:eastAsia="Times New Roman" w:hAnsi="Times New Roman" w:cs="Times New Roman"/>
      <w:color w:val="000000"/>
      <w:sz w:val="20"/>
      <w:szCs w:val="24"/>
      <w:lang w:eastAsia="cs-CZ"/>
    </w:rPr>
  </w:style>
  <w:style w:type="paragraph" w:styleId="Zpat">
    <w:name w:val="footer"/>
    <w:link w:val="ZpatChar"/>
    <w:rsid w:val="002245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2452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24525"/>
  </w:style>
  <w:style w:type="character" w:customStyle="1" w:styleId="TextpoznpodarouChar">
    <w:name w:val="Text pozn. pod čarou Char"/>
    <w:link w:val="Textpoznpodarou"/>
    <w:uiPriority w:val="99"/>
    <w:qFormat/>
    <w:rsid w:val="00224525"/>
  </w:style>
  <w:style w:type="paragraph" w:styleId="Textpoznpodarou">
    <w:name w:val="footnote text"/>
    <w:link w:val="TextpoznpodarouChar"/>
    <w:uiPriority w:val="99"/>
    <w:unhideWhenUsed/>
    <w:rsid w:val="00224525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22452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224525"/>
    <w:rPr>
      <w:vertAlign w:val="superscript"/>
    </w:rPr>
  </w:style>
  <w:style w:type="paragraph" w:styleId="Textbubliny">
    <w:name w:val="Balloon Text"/>
    <w:link w:val="TextbublinyChar"/>
    <w:uiPriority w:val="99"/>
    <w:semiHidden/>
    <w:unhideWhenUsed/>
    <w:rsid w:val="00B1777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777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uiPriority w:val="34"/>
    <w:qFormat/>
    <w:rsid w:val="00B17777"/>
    <w:pPr>
      <w:ind w:left="720"/>
      <w:contextualSpacing/>
    </w:p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3jjrlGWcKfNBfUf9OPe6fIopYg==">CgMxLjAyDmgucDJndWF4MmY5cXJyOAByITE4NEVXdEhXeDhkSDJ5RWo1NWdELXpNOFBFOURuXzJTXw==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698</Words>
  <Characters>4119</Characters>
  <Application>Microsoft Office Word</Application>
  <DocSecurity>0</DocSecurity>
  <Lines>34</Lines>
  <Paragraphs>9</Paragraphs>
  <ScaleCrop>false</ScaleCrop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Kasperová Vendula, Ing.</dc:creator>
  <cp:lastModifiedBy>Karel Rejent - ICT plus, s.r.o.</cp:lastModifiedBy>
  <cp:revision>2</cp:revision>
  <dcterms:created xsi:type="dcterms:W3CDTF">2025-07-21T17:41:00Z</dcterms:created>
  <dcterms:modified xsi:type="dcterms:W3CDTF">2025-09-19T16:33:00Z</dcterms:modified>
</cp:coreProperties>
</file>